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微软雅黑" w:hAnsi="微软雅黑" w:eastAsia="微软雅黑" w:cs="Times New Roman"/>
          <w:color w:val="000000"/>
          <w:spacing w:val="1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苍南县赤溪镇人民政府面向社会公开招聘编外工作人员</w:t>
      </w:r>
    </w:p>
    <w:p>
      <w:pPr>
        <w:spacing w:line="420" w:lineRule="exact"/>
        <w:jc w:val="center"/>
        <w:rPr>
          <w:rFonts w:cs="Times New Roman"/>
          <w:b/>
          <w:bCs/>
          <w:spacing w:val="40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</w:p>
    <w:tbl>
      <w:tblPr>
        <w:tblStyle w:val="3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4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507" w:type="dxa"/>
            <w:gridSpan w:val="1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19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9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50" w:right="-50"/>
      </w:pPr>
      <w:r>
        <w:rPr>
          <w:rFonts w:hint="eastAsia" w:cs="宋体"/>
        </w:rPr>
        <w:t>填表人：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C4327"/>
    <w:rsid w:val="324C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2021-03-03T09:04:00Z</dcterms:created>
  <dc:creator>xian</dc:creator>
  <cp:lastModifiedBy>xian</cp:lastModifiedBy>
  <dcterms:modified xsi:type="dcterms:W3CDTF">2021-03-03T09:05:13Z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