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tbl>
      <w:tblPr>
        <w:tblStyle w:val="2"/>
        <w:tblpPr w:leftFromText="180" w:rightFromText="180" w:vertAnchor="text" w:horzAnchor="page" w:tblpX="1309" w:tblpY="594"/>
        <w:tblOverlap w:val="never"/>
        <w:tblW w:w="96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500"/>
        <w:gridCol w:w="3318"/>
        <w:gridCol w:w="800"/>
        <w:gridCol w:w="1032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</w:rPr>
              <w:t>公司招聘劳务外包人员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职位要求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学历/职称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县交投公司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办事员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（征迁科）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年龄35周岁及以下(1986年1月1日以后出生）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苍南县、龙港市户籍。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5万元（含五险一金）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2021-08-23T09:12:27Z</dcterms:created>
  <dc:creator>Administrator</dc:creator>
  <cp:lastModifiedBy>一二三十五</cp:lastModifiedBy>
  <dcterms:modified xsi:type="dcterms:W3CDTF">2021-08-23T09:12:34Z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AF6CF418C6C34207BE1A1379BCA770DC</vt:lpwstr>
  </property>
</Properties>
</file>